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DE5162" w:rsidRPr="00DE5162" w:rsidRDefault="00DE5162" w:rsidP="00742F07">
      <w:pPr>
        <w:spacing w:line="420" w:lineRule="auto"/>
        <w:jc w:val="center"/>
        <w:rPr>
          <w:rFonts w:ascii="Times New Roman" w:hAnsi="Times New Roman" w:cs="Times New Roman"/>
          <w:b/>
          <w:bCs/>
        </w:rPr>
      </w:pPr>
      <w:r w:rsidRPr="00DE5162">
        <w:rPr>
          <w:rFonts w:ascii="Times New Roman" w:hAnsi="Times New Roman" w:cs="Times New Roman"/>
          <w:b/>
          <w:bCs/>
        </w:rPr>
        <w:t>Executive Summary</w:t>
      </w:r>
    </w:p>
    <w:p w:rsidR="00742F07" w:rsidRDefault="00742F07" w:rsidP="00742F07">
      <w:pPr>
        <w:spacing w:line="420" w:lineRule="auto"/>
        <w:ind w:firstLine="720"/>
        <w:rPr>
          <w:rFonts w:ascii="Times New Roman" w:hAnsi="Times New Roman" w:cs="Times New Roman"/>
        </w:rPr>
      </w:pPr>
      <w:r w:rsidRPr="00742F07">
        <w:rPr>
          <w:rFonts w:ascii="Times New Roman" w:hAnsi="Times New Roman" w:cs="Times New Roman"/>
        </w:rPr>
        <w:t xml:space="preserve">Neurodiversity refers to the range of possible biological variation in human brain function which manifests in unique ways in how individuals process information, learn, and experience the world. Over recent decades, this concept has increasingly been used in psychology and education as a term commonly associated with autism spectrum disorder (ASD), attention deficit hyperactivity disorder (ADHD), dyslexia, and Tourette's syndrome. </w:t>
      </w:r>
      <w:r>
        <w:rPr>
          <w:rFonts w:ascii="Times New Roman" w:eastAsia="Times New Roman" w:hAnsi="Times New Roman" w:cs="Times New Roman"/>
          <w:color w:val="000000"/>
          <w:kern w:val="0"/>
          <w:bdr w:val="none" w:sz="0" w:space="0" w:color="auto" w:frame="1"/>
          <w14:ligatures w14:val="none"/>
        </w:rPr>
        <w:t>This moved the focus beyond exclusively</w:t>
      </w:r>
      <w:r w:rsidRPr="00B161CA">
        <w:rPr>
          <w:rFonts w:ascii="Times New Roman" w:eastAsia="Times New Roman" w:hAnsi="Times New Roman" w:cs="Times New Roman"/>
          <w:color w:val="000000"/>
          <w:kern w:val="0"/>
          <w:bdr w:val="none" w:sz="0" w:space="0" w:color="auto" w:frame="1"/>
          <w14:ligatures w14:val="none"/>
        </w:rPr>
        <w:t xml:space="preserve"> deficit-</w:t>
      </w:r>
      <w:r>
        <w:rPr>
          <w:rFonts w:ascii="Times New Roman" w:eastAsia="Times New Roman" w:hAnsi="Times New Roman" w:cs="Times New Roman"/>
          <w:color w:val="000000"/>
          <w:kern w:val="0"/>
          <w:bdr w:val="none" w:sz="0" w:space="0" w:color="auto" w:frame="1"/>
          <w14:ligatures w14:val="none"/>
        </w:rPr>
        <w:t>oriented medical models</w:t>
      </w:r>
      <w:r w:rsidRPr="00B161CA">
        <w:rPr>
          <w:rFonts w:ascii="Times New Roman" w:eastAsia="Times New Roman" w:hAnsi="Times New Roman" w:cs="Times New Roman"/>
          <w:color w:val="000000"/>
          <w:kern w:val="0"/>
          <w:bdr w:val="none" w:sz="0" w:space="0" w:color="auto" w:frame="1"/>
          <w14:ligatures w14:val="none"/>
        </w:rPr>
        <w:t xml:space="preserve"> to</w:t>
      </w:r>
      <w:r>
        <w:rPr>
          <w:rFonts w:ascii="Times New Roman" w:eastAsia="Times New Roman" w:hAnsi="Times New Roman" w:cs="Times New Roman"/>
          <w:color w:val="000000"/>
          <w:kern w:val="0"/>
          <w:bdr w:val="none" w:sz="0" w:space="0" w:color="auto" w:frame="1"/>
          <w14:ligatures w14:val="none"/>
        </w:rPr>
        <w:t xml:space="preserve"> also emphasize cognitive diversity, </w:t>
      </w:r>
      <w:r w:rsidRPr="00B161CA">
        <w:rPr>
          <w:rFonts w:ascii="Times New Roman" w:eastAsia="Times New Roman" w:hAnsi="Times New Roman" w:cs="Times New Roman"/>
          <w:color w:val="000000"/>
          <w:kern w:val="0"/>
          <w:bdr w:val="none" w:sz="0" w:space="0" w:color="auto" w:frame="1"/>
          <w14:ligatures w14:val="none"/>
        </w:rPr>
        <w:t>individuality</w:t>
      </w:r>
      <w:r>
        <w:rPr>
          <w:rFonts w:ascii="Times New Roman" w:eastAsia="Times New Roman" w:hAnsi="Times New Roman" w:cs="Times New Roman"/>
          <w:color w:val="000000"/>
          <w:kern w:val="0"/>
          <w:bdr w:val="none" w:sz="0" w:space="0" w:color="auto" w:frame="1"/>
          <w14:ligatures w14:val="none"/>
        </w:rPr>
        <w:t>, and person-environment fit</w:t>
      </w:r>
      <w:r w:rsidRPr="00B161CA">
        <w:rPr>
          <w:rFonts w:ascii="Times New Roman" w:eastAsia="Times New Roman" w:hAnsi="Times New Roman" w:cs="Times New Roman"/>
          <w:color w:val="000000"/>
          <w:kern w:val="0"/>
          <w:bdr w:val="none" w:sz="0" w:space="0" w:color="auto" w:frame="1"/>
          <w14:ligatures w14:val="none"/>
        </w:rPr>
        <w:t>.</w:t>
      </w:r>
      <w:r>
        <w:rPr>
          <w:rFonts w:ascii="Times New Roman" w:eastAsia="Times New Roman" w:hAnsi="Times New Roman" w:cs="Times New Roman"/>
          <w:color w:val="000000"/>
          <w:kern w:val="0"/>
          <w:bdr w:val="none" w:sz="0" w:space="0" w:color="auto" w:frame="1"/>
          <w14:ligatures w14:val="none"/>
        </w:rPr>
        <w:t xml:space="preserve"> </w:t>
      </w:r>
      <w:r w:rsidRPr="00B161CA">
        <w:rPr>
          <w:rFonts w:ascii="Times New Roman" w:eastAsia="Times New Roman" w:hAnsi="Times New Roman" w:cs="Times New Roman"/>
          <w:color w:val="000000"/>
          <w:kern w:val="0"/>
          <w14:ligatures w14:val="none"/>
        </w:rPr>
        <w:t>This shift in perspective has</w:t>
      </w:r>
      <w:r>
        <w:rPr>
          <w:rFonts w:ascii="Times New Roman" w:eastAsia="Times New Roman" w:hAnsi="Times New Roman" w:cs="Times New Roman"/>
          <w:color w:val="000000"/>
          <w:kern w:val="0"/>
          <w14:ligatures w14:val="none"/>
        </w:rPr>
        <w:t xml:space="preserve"> engaged very little with</w:t>
      </w:r>
      <w:r w:rsidRPr="00B161CA">
        <w:rPr>
          <w:rFonts w:ascii="Times New Roman" w:eastAsia="Times New Roman" w:hAnsi="Times New Roman" w:cs="Times New Roman"/>
          <w:color w:val="000000"/>
          <w:kern w:val="0"/>
          <w14:ligatures w14:val="none"/>
        </w:rPr>
        <w:t xml:space="preserve"> </w:t>
      </w:r>
      <w:r>
        <w:rPr>
          <w:rFonts w:ascii="Times New Roman" w:eastAsia="Times New Roman" w:hAnsi="Times New Roman" w:cs="Times New Roman"/>
          <w:color w:val="000000"/>
          <w:kern w:val="0"/>
          <w14:ligatures w14:val="none"/>
        </w:rPr>
        <w:t>the intellectually gifted</w:t>
      </w:r>
      <w:r w:rsidRPr="00B161CA">
        <w:rPr>
          <w:rFonts w:ascii="Times New Roman" w:eastAsia="Times New Roman" w:hAnsi="Times New Roman" w:cs="Times New Roman"/>
          <w:color w:val="000000"/>
          <w:kern w:val="0"/>
          <w14:ligatures w14:val="none"/>
        </w:rPr>
        <w:t xml:space="preserve"> whose cognitive differences are </w:t>
      </w:r>
      <w:r>
        <w:rPr>
          <w:rFonts w:ascii="Times New Roman" w:eastAsia="Times New Roman" w:hAnsi="Times New Roman" w:cs="Times New Roman"/>
          <w:color w:val="000000"/>
          <w:kern w:val="0"/>
          <w14:ligatures w14:val="none"/>
        </w:rPr>
        <w:t xml:space="preserve">likewise distinct. </w:t>
      </w:r>
      <w:r w:rsidRPr="00B161CA">
        <w:rPr>
          <w:rFonts w:ascii="Times New Roman" w:eastAsia="Times New Roman" w:hAnsi="Times New Roman" w:cs="Times New Roman"/>
          <w:color w:val="000000"/>
          <w:kern w:val="0"/>
          <w14:ligatures w14:val="none"/>
        </w:rPr>
        <w:t>Individuals identified as gifted think, process, and engage with the world in ways that are measurably distinct from the general population</w:t>
      </w:r>
      <w:r>
        <w:rPr>
          <w:rFonts w:ascii="Times New Roman" w:eastAsia="Times New Roman" w:hAnsi="Times New Roman" w:cs="Times New Roman"/>
          <w:color w:val="000000"/>
          <w:kern w:val="0"/>
          <w14:ligatures w14:val="none"/>
        </w:rPr>
        <w:t>.</w:t>
      </w:r>
      <w:r>
        <w:rPr>
          <w:rFonts w:ascii="Times New Roman" w:hAnsi="Times New Roman" w:cs="Times New Roman"/>
        </w:rPr>
        <w:t xml:space="preserve"> </w:t>
      </w:r>
      <w:r w:rsidRPr="00742F07">
        <w:rPr>
          <w:rFonts w:ascii="Times New Roman" w:hAnsi="Times New Roman" w:cs="Times New Roman"/>
        </w:rPr>
        <w:t>How giftedness is classified has real implications for how gifted individuals are supported in educational, clinical, and advocacy contexts. This paper therefore seeks to address the following question: should intellectual giftedness be recognized as a form of neurodiversity?</w:t>
      </w:r>
      <w:r>
        <w:rPr>
          <w:rFonts w:ascii="Times New Roman" w:hAnsi="Times New Roman" w:cs="Times New Roman"/>
        </w:rPr>
        <w:t xml:space="preserve"> </w:t>
      </w:r>
      <w:r w:rsidRPr="00742F07">
        <w:rPr>
          <w:rFonts w:ascii="Times New Roman" w:hAnsi="Times New Roman" w:cs="Times New Roman"/>
        </w:rPr>
        <w:t>To address this question, the paper draws on four frameworks: neurological and biological, developmental, twice-exceptionality, and social experience and identity.</w:t>
      </w:r>
      <w:r>
        <w:rPr>
          <w:rFonts w:ascii="Times New Roman" w:hAnsi="Times New Roman" w:cs="Times New Roman"/>
        </w:rPr>
        <w:t xml:space="preserve"> </w:t>
      </w:r>
    </w:p>
    <w:p w:rsidR="00742F07" w:rsidRPr="00742F07" w:rsidRDefault="00742F07" w:rsidP="00742F07">
      <w:pPr>
        <w:spacing w:line="420" w:lineRule="auto"/>
        <w:ind w:firstLine="720"/>
        <w:rPr>
          <w:rFonts w:ascii="Times New Roman" w:hAnsi="Times New Roman" w:cs="Times New Roman"/>
        </w:rPr>
      </w:pPr>
      <w:r w:rsidRPr="00742F07">
        <w:rPr>
          <w:rFonts w:ascii="Times New Roman" w:hAnsi="Times New Roman" w:cs="Times New Roman"/>
        </w:rPr>
        <w:t>Studies comparing the neurological functioning of gifted children with their non-identified same-age peers report that gifted children exhibit qualitatively, not merely quantitatively, distinct neurological profiles. If giftedness is defined narrowly as high IQ, the neurobiological evidence provides a relatively direct case for neurological atypicality. If it is defined more broadly to include creative, social, or domain-specific exceptionality, the existing neurobiological research offers insufficient grounds to characterize giftedness as a distinct or unified form of neurodiversity.</w:t>
      </w:r>
    </w:p>
    <w:p w:rsidR="00742F07" w:rsidRPr="00742F07" w:rsidRDefault="00742F07" w:rsidP="00742F07">
      <w:pPr>
        <w:spacing w:line="420" w:lineRule="auto"/>
        <w:ind w:firstLine="720"/>
        <w:rPr>
          <w:rFonts w:ascii="Times New Roman" w:hAnsi="Times New Roman" w:cs="Times New Roman"/>
        </w:rPr>
      </w:pPr>
      <w:r w:rsidRPr="00742F07">
        <w:rPr>
          <w:rFonts w:ascii="Times New Roman" w:hAnsi="Times New Roman" w:cs="Times New Roman"/>
        </w:rPr>
        <w:t>The Columbus Group (1991) defined giftedness as asynchronous development in which advanced cognitive abilities and heightened intensity combine to create inner experiences and awareness that are qualitatively different from the norm</w:t>
      </w:r>
      <w:r w:rsidR="00302E36">
        <w:rPr>
          <w:rFonts w:ascii="Times New Roman" w:hAnsi="Times New Roman" w:cs="Times New Roman"/>
        </w:rPr>
        <w:t>,</w:t>
      </w:r>
      <w:r w:rsidRPr="00742F07">
        <w:rPr>
          <w:rFonts w:ascii="Times New Roman" w:hAnsi="Times New Roman" w:cs="Times New Roman"/>
        </w:rPr>
        <w:t xml:space="preserve"> with asynchrony increasing with higher intellectual capacity. Current evidence on asynchronous development does not definitively </w:t>
      </w:r>
      <w:r w:rsidRPr="00742F07">
        <w:rPr>
          <w:rFonts w:ascii="Times New Roman" w:hAnsi="Times New Roman" w:cs="Times New Roman"/>
        </w:rPr>
        <w:lastRenderedPageBreak/>
        <w:t>establish giftedness as a form of neurodiversity, but it provides a reasonable basis for taking that question seriously.</w:t>
      </w:r>
    </w:p>
    <w:p w:rsidR="00742F07" w:rsidRPr="00742F07" w:rsidRDefault="00742F07" w:rsidP="00742F07">
      <w:pPr>
        <w:spacing w:line="420" w:lineRule="auto"/>
        <w:ind w:firstLine="720"/>
        <w:rPr>
          <w:rFonts w:ascii="Times New Roman" w:hAnsi="Times New Roman" w:cs="Times New Roman"/>
        </w:rPr>
      </w:pPr>
      <w:r w:rsidRPr="00742F07">
        <w:rPr>
          <w:rFonts w:ascii="Times New Roman" w:hAnsi="Times New Roman" w:cs="Times New Roman"/>
        </w:rPr>
        <w:t>Twice-exceptionality refers to the co-occurrence of giftedness and a disability. By standard definition, twice-exceptional students are neurodivergent, but this is not because they are gifted — their neurodivergent status derives from a co-occurring diagnosis. What the twice-exceptionality literature does establish is that giftedness and neurodivergence co-occur in ways that have significant implications for the child's education and development, and that treating them as entirely separate makes it harder to identify and serve these students.</w:t>
      </w:r>
    </w:p>
    <w:p w:rsidR="00742F07" w:rsidRPr="00742F07" w:rsidRDefault="00742F07" w:rsidP="00742F07">
      <w:pPr>
        <w:spacing w:line="420" w:lineRule="auto"/>
        <w:ind w:firstLine="720"/>
        <w:rPr>
          <w:rFonts w:ascii="Times New Roman" w:hAnsi="Times New Roman" w:cs="Times New Roman"/>
        </w:rPr>
      </w:pPr>
      <w:r w:rsidRPr="00742F07">
        <w:rPr>
          <w:rFonts w:ascii="Times New Roman" w:hAnsi="Times New Roman" w:cs="Times New Roman"/>
        </w:rPr>
        <w:t xml:space="preserve">The social experience of gifted students has been studied for decades and from a variety of angles. Gifted students are influenced by how others treat them and how they believe others feel about their abilities. Many avoid stigma through conformity, and some would rather underachieve and deny their giftedness than risk social rejection. The social costs </w:t>
      </w:r>
      <w:r w:rsidR="00302E36">
        <w:rPr>
          <w:rFonts w:ascii="Times New Roman" w:hAnsi="Times New Roman" w:cs="Times New Roman"/>
        </w:rPr>
        <w:t xml:space="preserve">(e.g., </w:t>
      </w:r>
      <w:r w:rsidRPr="00742F07">
        <w:rPr>
          <w:rFonts w:ascii="Times New Roman" w:hAnsi="Times New Roman" w:cs="Times New Roman"/>
        </w:rPr>
        <w:t>conformity, denial, underachievement, and information management</w:t>
      </w:r>
      <w:r w:rsidR="00302E36">
        <w:rPr>
          <w:rFonts w:ascii="Times New Roman" w:hAnsi="Times New Roman" w:cs="Times New Roman"/>
        </w:rPr>
        <w:t>)</w:t>
      </w:r>
      <w:r w:rsidRPr="00742F07">
        <w:rPr>
          <w:rFonts w:ascii="Times New Roman" w:hAnsi="Times New Roman" w:cs="Times New Roman"/>
        </w:rPr>
        <w:t xml:space="preserve"> are not trivial. They are the behavioral residue of students' experiences of stigma. The stigma of giftedness may differ in visibility and social weight from that directed at other marginalized groups, but </w:t>
      </w:r>
      <w:r>
        <w:rPr>
          <w:rFonts w:ascii="Times New Roman" w:hAnsi="Times New Roman" w:cs="Times New Roman"/>
        </w:rPr>
        <w:t xml:space="preserve">deviating upward from social normal can be </w:t>
      </w:r>
      <w:r w:rsidRPr="00742F07">
        <w:rPr>
          <w:rFonts w:ascii="Times New Roman" w:hAnsi="Times New Roman" w:cs="Times New Roman"/>
        </w:rPr>
        <w:t xml:space="preserve">as problematic as </w:t>
      </w:r>
      <w:r>
        <w:rPr>
          <w:rFonts w:ascii="Times New Roman" w:hAnsi="Times New Roman" w:cs="Times New Roman"/>
        </w:rPr>
        <w:t>deviating downward</w:t>
      </w:r>
      <w:r w:rsidRPr="00742F07">
        <w:rPr>
          <w:rFonts w:ascii="Times New Roman" w:hAnsi="Times New Roman" w:cs="Times New Roman"/>
        </w:rPr>
        <w:t>, and excellence can be isolating and painful. It is not about claiming equivalence with other diagnosed conditions. Individual differences in cognitive styles, in either direction from the norm, have social consequences that deserve to be named, understood, and addressed.</w:t>
      </w:r>
    </w:p>
    <w:p w:rsidR="00DE5162" w:rsidRPr="00DE5162" w:rsidRDefault="00742F07" w:rsidP="00742F07">
      <w:pPr>
        <w:spacing w:line="420" w:lineRule="auto"/>
        <w:ind w:firstLine="720"/>
        <w:rPr>
          <w:rFonts w:ascii="Times New Roman" w:hAnsi="Times New Roman" w:cs="Times New Roman"/>
        </w:rPr>
      </w:pPr>
      <w:r w:rsidRPr="00742F07">
        <w:rPr>
          <w:rFonts w:ascii="Times New Roman" w:hAnsi="Times New Roman" w:cs="Times New Roman"/>
        </w:rPr>
        <w:t>The evidence reviewed across these four frameworks does not support a definitive conclusion that giftedness is a form of neurodiversity. The boundary between these constructs, however, is conceptually permeable. The heterogeneity of gifted profiles complicates categorical inclusion or exclusion, and for twice-exceptional students, giftedness and neurodivergence are more closely aligned at the level of lived experience. The neurodiversity paradigm may have something important to offer gifted education</w:t>
      </w:r>
      <w:r>
        <w:rPr>
          <w:rFonts w:ascii="Times New Roman" w:hAnsi="Times New Roman" w:cs="Times New Roman"/>
        </w:rPr>
        <w:t>. It shifts</w:t>
      </w:r>
      <w:r w:rsidRPr="00742F07">
        <w:rPr>
          <w:rFonts w:ascii="Times New Roman" w:hAnsi="Times New Roman" w:cs="Times New Roman"/>
        </w:rPr>
        <w:t xml:space="preserve"> the rationale for support from what individuals can contribute to what those individuals experience.</w:t>
      </w:r>
    </w:p>
    <w:sectPr w:rsidR="00DE5162" w:rsidRPr="00DE516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5162"/>
    <w:rsid w:val="00302E36"/>
    <w:rsid w:val="003D1DE5"/>
    <w:rsid w:val="00742F07"/>
    <w:rsid w:val="00754E00"/>
    <w:rsid w:val="00C73FFA"/>
    <w:rsid w:val="00DE51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A1955FC"/>
  <w15:chartTrackingRefBased/>
  <w15:docId w15:val="{F62B7716-811A-2942-B743-5607285F92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2</Pages>
  <Words>679</Words>
  <Characters>3875</Characters>
  <Application>Microsoft Office Word</Application>
  <DocSecurity>0</DocSecurity>
  <Lines>32</Lines>
  <Paragraphs>9</Paragraphs>
  <ScaleCrop>false</ScaleCrop>
  <Company/>
  <LinksUpToDate>false</LinksUpToDate>
  <CharactersWithSpaces>4545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Sakhavat Mammadov</dc:creator>
  <cp:keywords/>
  <dc:description/>
  <cp:lastModifiedBy>Sakhavat Mammadov</cp:lastModifiedBy>
  <cp:revision>3</cp:revision>
  <dcterms:created xsi:type="dcterms:W3CDTF">2026-06-15T15:05:00Z</dcterms:created>
  <dcterms:modified xsi:type="dcterms:W3CDTF">2026-06-15T17:27:00Z</dcterms:modified>
</cp:coreProperties>
</file>